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E4F" w:rsidRPr="002B7E4F" w:rsidRDefault="002B7E4F" w:rsidP="002B7E4F">
      <w:pPr>
        <w:jc w:val="both"/>
        <w:rPr>
          <w:rFonts w:ascii="Arial" w:hAnsi="Arial" w:cs="Arial"/>
          <w:b/>
          <w:sz w:val="22"/>
          <w:szCs w:val="22"/>
          <w:lang w:val="es-MX"/>
        </w:rPr>
      </w:pPr>
      <w:bookmarkStart w:id="0" w:name="_GoBack"/>
      <w:bookmarkEnd w:id="0"/>
    </w:p>
    <w:p w:rsidR="002B7E4F" w:rsidRPr="002B7E4F" w:rsidRDefault="002B7E4F" w:rsidP="002B7E4F">
      <w:pPr>
        <w:jc w:val="both"/>
        <w:rPr>
          <w:rFonts w:ascii="Arial" w:hAnsi="Arial" w:cs="Arial"/>
          <w:b/>
          <w:sz w:val="22"/>
          <w:szCs w:val="22"/>
          <w:lang w:val="es-MX"/>
        </w:rPr>
      </w:pPr>
      <w:r w:rsidRPr="002B7E4F">
        <w:rPr>
          <w:rFonts w:ascii="Arial" w:hAnsi="Arial" w:cs="Arial"/>
          <w:b/>
          <w:sz w:val="22"/>
          <w:szCs w:val="22"/>
          <w:lang w:val="es-MX"/>
        </w:rPr>
        <w:t>EP</w:t>
      </w:r>
      <w:r w:rsidR="00715976">
        <w:rPr>
          <w:rFonts w:ascii="Arial" w:hAnsi="Arial" w:cs="Arial"/>
          <w:b/>
          <w:sz w:val="22"/>
          <w:szCs w:val="22"/>
          <w:lang w:val="es-MX"/>
        </w:rPr>
        <w:t>.</w:t>
      </w:r>
      <w:r w:rsidRPr="002B7E4F">
        <w:rPr>
          <w:rFonts w:ascii="Arial" w:hAnsi="Arial" w:cs="Arial"/>
          <w:b/>
          <w:sz w:val="22"/>
          <w:szCs w:val="22"/>
          <w:lang w:val="es-MX"/>
        </w:rPr>
        <w:t xml:space="preserve"> 101</w:t>
      </w:r>
      <w:r w:rsidR="00715976">
        <w:rPr>
          <w:rFonts w:ascii="Arial" w:hAnsi="Arial" w:cs="Arial"/>
          <w:b/>
          <w:sz w:val="22"/>
          <w:szCs w:val="22"/>
          <w:lang w:val="es-MX"/>
        </w:rPr>
        <w:t>.-</w:t>
      </w:r>
      <w:r w:rsidRPr="002B7E4F">
        <w:rPr>
          <w:rFonts w:ascii="Arial" w:hAnsi="Arial" w:cs="Arial"/>
          <w:b/>
          <w:sz w:val="22"/>
          <w:szCs w:val="22"/>
          <w:lang w:val="es-MX"/>
        </w:rPr>
        <w:t xml:space="preserve"> PUERTA DE ESTACIÓN</w:t>
      </w:r>
    </w:p>
    <w:p w:rsidR="002B7E4F" w:rsidRPr="002B7E4F" w:rsidRDefault="002B7E4F" w:rsidP="002B7E4F">
      <w:pPr>
        <w:jc w:val="both"/>
        <w:rPr>
          <w:rFonts w:ascii="Arial" w:hAnsi="Arial" w:cs="Arial"/>
          <w:b/>
          <w:sz w:val="22"/>
          <w:szCs w:val="22"/>
          <w:lang w:val="es-MX"/>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Suministro, instalación de cerradura tipo electroimán y contacto magnético de superficie, para puerta de estación. El electroimán con alimentación 12/24VDC, 500mA. Contacto Magnético de superficie normalmente cerrada, carcasa de aluminio y alta potencia magnética. Normalmente operados mediante un esquema arquitectónico de control remoto que estará integrado al mando y control de estaciones (TES) y al control de accesos de áreas restringidas (ACC), los cuales podrán ser monitoreados desde el Centro de Control y desde el Puesto del Jefe de Estación. Así mismo deberá de poder operarse de manera local. El P.U. incluye: material de fijación, materiales de desperdicios,  mano de obra, equipos,  herramientas, maniobras, acarreos dentro y fuera de la obra,  almacenamiento, limpieza y retiro de material fuera de la obra, pruebas, puesta en marcha y todo lo necesario para su correcto funcionamiento, además incluye todas las canalizaciones necesarias,  programación  e  interconexión de controles necesarios indicados en el proyecto.</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29"/>
        </w:numPr>
        <w:rPr>
          <w:rFonts w:ascii="Arial" w:hAnsi="Arial" w:cs="Arial"/>
          <w:b/>
          <w:sz w:val="22"/>
          <w:szCs w:val="22"/>
        </w:rPr>
      </w:pPr>
      <w:bookmarkStart w:id="1" w:name="_Toc368074731"/>
      <w:r w:rsidRPr="002B7E4F">
        <w:rPr>
          <w:rFonts w:ascii="Arial" w:hAnsi="Arial" w:cs="Arial"/>
          <w:b/>
          <w:sz w:val="22"/>
          <w:szCs w:val="22"/>
        </w:rPr>
        <w:t>Características Técnicas</w:t>
      </w:r>
      <w:bookmarkEnd w:id="1"/>
    </w:p>
    <w:p w:rsidR="002B7E4F" w:rsidRPr="002B7E4F" w:rsidRDefault="002B7E4F" w:rsidP="00462F48">
      <w:pPr>
        <w:pStyle w:val="TITULO-4"/>
        <w:numPr>
          <w:ilvl w:val="3"/>
          <w:numId w:val="29"/>
        </w:numPr>
        <w:rPr>
          <w:spacing w:val="-1"/>
          <w:sz w:val="22"/>
          <w:szCs w:val="22"/>
        </w:rPr>
      </w:pPr>
      <w:bookmarkStart w:id="2" w:name="_Toc368074732"/>
      <w:r w:rsidRPr="002B7E4F">
        <w:rPr>
          <w:spacing w:val="-1"/>
          <w:sz w:val="22"/>
          <w:szCs w:val="22"/>
        </w:rPr>
        <w:t>Base de selección.</w:t>
      </w:r>
      <w:bookmarkEnd w:id="2"/>
    </w:p>
    <w:p w:rsidR="002B7E4F" w:rsidRPr="002B7E4F" w:rsidRDefault="002B7E4F" w:rsidP="002B7E4F">
      <w:pPr>
        <w:jc w:val="both"/>
        <w:rPr>
          <w:rFonts w:ascii="Arial" w:hAnsi="Arial" w:cs="Arial"/>
          <w:sz w:val="22"/>
          <w:szCs w:val="22"/>
        </w:rPr>
      </w:pPr>
      <w:r w:rsidRPr="002B7E4F">
        <w:rPr>
          <w:rFonts w:ascii="Arial" w:hAnsi="Arial" w:cs="Arial"/>
          <w:sz w:val="22"/>
          <w:szCs w:val="22"/>
        </w:rPr>
        <w:t>Como norma general, en las puertas de dependencias se instalarán contactos magnéticos para detectar su apertura, en montaje superficial. En el caso de que existan electroimanes para retener las puertas, el detector de apertura seguirá funcionando aunque el electroimán no esté alimentado. Por esta razón se instala un contacto independiente.</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Todos los componentes que se suministren deben ser totalmente compatibles a nivel de interface eléctrico, protocolos de comunicaciones, sistema operativo y software de aplicación. Todos los componentes soportarán totalmente y de forma compatible todas las funcionalidades implementadas en el sistema de control de accesos existente.</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Se suministrará un contacto magnético industrial.</w:t>
      </w:r>
    </w:p>
    <w:p w:rsidR="002B7E4F" w:rsidRPr="002B7E4F" w:rsidRDefault="002B7E4F" w:rsidP="002B7E4F">
      <w:pPr>
        <w:jc w:val="both"/>
        <w:rPr>
          <w:rFonts w:ascii="Arial" w:hAnsi="Arial" w:cs="Arial"/>
          <w:sz w:val="22"/>
          <w:szCs w:val="22"/>
        </w:rPr>
      </w:pPr>
      <w:r w:rsidRPr="002B7E4F">
        <w:rPr>
          <w:rFonts w:ascii="Arial" w:hAnsi="Arial" w:cs="Arial"/>
          <w:sz w:val="22"/>
          <w:szCs w:val="22"/>
        </w:rPr>
        <w:t>Características técnicas:</w:t>
      </w:r>
    </w:p>
    <w:p w:rsidR="002B7E4F" w:rsidRPr="002B7E4F" w:rsidRDefault="002B7E4F" w:rsidP="002B7E4F">
      <w:pPr>
        <w:autoSpaceDE w:val="0"/>
        <w:autoSpaceDN w:val="0"/>
        <w:adjustRightInd w:val="0"/>
        <w:jc w:val="both"/>
        <w:rPr>
          <w:rFonts w:ascii="Arial" w:hAnsi="Arial" w:cs="Arial"/>
          <w:sz w:val="22"/>
          <w:szCs w:val="22"/>
          <w:lang w:val="es-MX" w:eastAsia="es-MX"/>
        </w:rPr>
      </w:pPr>
    </w:p>
    <w:p w:rsidR="002B7E4F" w:rsidRPr="002B7E4F" w:rsidRDefault="002B7E4F" w:rsidP="00462F48">
      <w:pPr>
        <w:pStyle w:val="Prrafodelista"/>
        <w:numPr>
          <w:ilvl w:val="0"/>
          <w:numId w:val="28"/>
        </w:numPr>
        <w:autoSpaceDE w:val="0"/>
        <w:autoSpaceDN w:val="0"/>
        <w:adjustRightInd w:val="0"/>
        <w:spacing w:line="360" w:lineRule="auto"/>
        <w:jc w:val="both"/>
        <w:rPr>
          <w:rFonts w:ascii="Arial" w:hAnsi="Arial" w:cs="Arial"/>
          <w:sz w:val="22"/>
          <w:szCs w:val="22"/>
          <w:lang w:val="es-MX" w:eastAsia="es-MX"/>
        </w:rPr>
      </w:pPr>
      <w:r w:rsidRPr="002B7E4F">
        <w:rPr>
          <w:rFonts w:ascii="Arial" w:hAnsi="Arial" w:cs="Arial"/>
          <w:sz w:val="22"/>
          <w:szCs w:val="22"/>
          <w:lang w:val="es-MX" w:eastAsia="es-MX"/>
        </w:rPr>
        <w:t>Carcasa de aluminio.</w:t>
      </w:r>
    </w:p>
    <w:p w:rsidR="002B7E4F" w:rsidRPr="002B7E4F" w:rsidRDefault="002B7E4F" w:rsidP="00462F48">
      <w:pPr>
        <w:pStyle w:val="Prrafodelista"/>
        <w:numPr>
          <w:ilvl w:val="0"/>
          <w:numId w:val="28"/>
        </w:numPr>
        <w:autoSpaceDE w:val="0"/>
        <w:autoSpaceDN w:val="0"/>
        <w:adjustRightInd w:val="0"/>
        <w:spacing w:line="360" w:lineRule="auto"/>
        <w:jc w:val="both"/>
        <w:rPr>
          <w:rFonts w:ascii="Arial" w:hAnsi="Arial" w:cs="Arial"/>
          <w:sz w:val="22"/>
          <w:szCs w:val="22"/>
          <w:lang w:val="es-MX" w:eastAsia="es-MX"/>
        </w:rPr>
      </w:pPr>
      <w:r w:rsidRPr="002B7E4F">
        <w:rPr>
          <w:rFonts w:ascii="Arial" w:hAnsi="Arial" w:cs="Arial"/>
          <w:sz w:val="22"/>
          <w:szCs w:val="22"/>
          <w:lang w:val="es-MX" w:eastAsia="es-MX"/>
        </w:rPr>
        <w:t>Cable protegido con tubo corrugado de acero inoxidable.</w:t>
      </w:r>
    </w:p>
    <w:p w:rsidR="002B7E4F" w:rsidRPr="002B7E4F" w:rsidRDefault="002B7E4F" w:rsidP="00462F48">
      <w:pPr>
        <w:pStyle w:val="Prrafodelista"/>
        <w:numPr>
          <w:ilvl w:val="0"/>
          <w:numId w:val="28"/>
        </w:numPr>
        <w:autoSpaceDE w:val="0"/>
        <w:autoSpaceDN w:val="0"/>
        <w:adjustRightInd w:val="0"/>
        <w:spacing w:line="360" w:lineRule="auto"/>
        <w:jc w:val="both"/>
        <w:rPr>
          <w:rFonts w:ascii="Arial" w:hAnsi="Arial" w:cs="Arial"/>
          <w:sz w:val="22"/>
          <w:szCs w:val="22"/>
          <w:lang w:val="es-MX" w:eastAsia="es-MX"/>
        </w:rPr>
      </w:pPr>
      <w:r w:rsidRPr="002B7E4F">
        <w:rPr>
          <w:rFonts w:ascii="Arial" w:hAnsi="Arial" w:cs="Arial"/>
          <w:sz w:val="22"/>
          <w:szCs w:val="22"/>
          <w:lang w:val="es-MX" w:eastAsia="es-MX"/>
        </w:rPr>
        <w:t>Longitud de cable 90 cm.</w:t>
      </w:r>
    </w:p>
    <w:p w:rsidR="002B7E4F" w:rsidRPr="002B7E4F" w:rsidRDefault="002B7E4F" w:rsidP="00462F48">
      <w:pPr>
        <w:pStyle w:val="Prrafodelista"/>
        <w:numPr>
          <w:ilvl w:val="0"/>
          <w:numId w:val="28"/>
        </w:numPr>
        <w:autoSpaceDE w:val="0"/>
        <w:autoSpaceDN w:val="0"/>
        <w:adjustRightInd w:val="0"/>
        <w:spacing w:line="360" w:lineRule="auto"/>
        <w:jc w:val="both"/>
        <w:rPr>
          <w:rFonts w:ascii="Arial" w:hAnsi="Arial" w:cs="Arial"/>
          <w:sz w:val="22"/>
          <w:szCs w:val="22"/>
          <w:lang w:val="es-MX" w:eastAsia="es-MX"/>
        </w:rPr>
      </w:pPr>
      <w:r w:rsidRPr="002B7E4F">
        <w:rPr>
          <w:rFonts w:ascii="Arial" w:hAnsi="Arial" w:cs="Arial"/>
          <w:sz w:val="22"/>
          <w:szCs w:val="22"/>
          <w:lang w:val="es-MX" w:eastAsia="es-MX"/>
        </w:rPr>
        <w:t>Alta potencia magnética.</w:t>
      </w:r>
    </w:p>
    <w:p w:rsidR="002B7E4F" w:rsidRPr="002B7E4F" w:rsidRDefault="002B7E4F" w:rsidP="00462F48">
      <w:pPr>
        <w:pStyle w:val="Prrafodelista"/>
        <w:numPr>
          <w:ilvl w:val="0"/>
          <w:numId w:val="28"/>
        </w:numPr>
        <w:autoSpaceDE w:val="0"/>
        <w:autoSpaceDN w:val="0"/>
        <w:adjustRightInd w:val="0"/>
        <w:spacing w:line="360" w:lineRule="auto"/>
        <w:jc w:val="both"/>
        <w:rPr>
          <w:rFonts w:ascii="Arial" w:hAnsi="Arial" w:cs="Arial"/>
          <w:sz w:val="22"/>
          <w:szCs w:val="22"/>
          <w:lang w:val="es-MX" w:eastAsia="es-MX"/>
        </w:rPr>
      </w:pPr>
      <w:r w:rsidRPr="002B7E4F">
        <w:rPr>
          <w:rFonts w:ascii="Arial" w:hAnsi="Arial" w:cs="Arial"/>
          <w:sz w:val="22"/>
          <w:szCs w:val="22"/>
          <w:lang w:val="es-MX" w:eastAsia="es-MX"/>
        </w:rPr>
        <w:t>Tamaño: contacto e imán 7,62 x 2,54 x 1,27 cm.</w:t>
      </w:r>
    </w:p>
    <w:p w:rsidR="002B7E4F" w:rsidRPr="002B7E4F" w:rsidRDefault="002B7E4F" w:rsidP="00462F48">
      <w:pPr>
        <w:pStyle w:val="Prrafodelista"/>
        <w:numPr>
          <w:ilvl w:val="0"/>
          <w:numId w:val="28"/>
        </w:numPr>
        <w:autoSpaceDE w:val="0"/>
        <w:autoSpaceDN w:val="0"/>
        <w:adjustRightInd w:val="0"/>
        <w:spacing w:line="360" w:lineRule="auto"/>
        <w:jc w:val="both"/>
        <w:rPr>
          <w:rFonts w:ascii="Arial" w:hAnsi="Arial" w:cs="Arial"/>
          <w:sz w:val="22"/>
          <w:szCs w:val="22"/>
          <w:lang w:val="es-MX" w:eastAsia="es-MX"/>
        </w:rPr>
      </w:pPr>
      <w:r w:rsidRPr="002B7E4F">
        <w:rPr>
          <w:rFonts w:ascii="Arial" w:hAnsi="Arial" w:cs="Arial"/>
          <w:sz w:val="22"/>
          <w:szCs w:val="22"/>
          <w:lang w:val="es-MX" w:eastAsia="es-MX"/>
        </w:rPr>
        <w:t>Distancia máxima: 7,62 cm.</w:t>
      </w:r>
    </w:p>
    <w:p w:rsidR="002B7E4F" w:rsidRPr="002B7E4F" w:rsidRDefault="002B7E4F" w:rsidP="00462F48">
      <w:pPr>
        <w:pStyle w:val="Prrafodelista"/>
        <w:numPr>
          <w:ilvl w:val="0"/>
          <w:numId w:val="28"/>
        </w:numPr>
        <w:autoSpaceDE w:val="0"/>
        <w:autoSpaceDN w:val="0"/>
        <w:adjustRightInd w:val="0"/>
        <w:spacing w:line="360" w:lineRule="auto"/>
        <w:jc w:val="both"/>
        <w:rPr>
          <w:rFonts w:ascii="Arial" w:hAnsi="Arial" w:cs="Arial"/>
          <w:sz w:val="22"/>
          <w:szCs w:val="22"/>
          <w:lang w:val="es-MX" w:eastAsia="es-MX"/>
        </w:rPr>
      </w:pPr>
      <w:r w:rsidRPr="002B7E4F">
        <w:rPr>
          <w:rFonts w:ascii="Arial" w:hAnsi="Arial" w:cs="Arial"/>
          <w:sz w:val="22"/>
          <w:szCs w:val="22"/>
          <w:lang w:val="es-MX" w:eastAsia="es-MX"/>
        </w:rPr>
        <w:t>Contacto normalmente cerrado.</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autoSpaceDE w:val="0"/>
        <w:autoSpaceDN w:val="0"/>
        <w:adjustRightInd w:val="0"/>
        <w:jc w:val="both"/>
        <w:rPr>
          <w:rFonts w:ascii="Arial" w:hAnsi="Arial" w:cs="Arial"/>
          <w:sz w:val="22"/>
          <w:szCs w:val="22"/>
          <w:lang w:val="es-MX" w:eastAsia="es-MX"/>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Se suministrará un Electroimán de bloqueo de puerta</w:t>
      </w:r>
      <w:r w:rsidRPr="002B7E4F">
        <w:rPr>
          <w:rFonts w:ascii="Arial" w:hAnsi="Arial" w:cs="Arial"/>
          <w:sz w:val="22"/>
          <w:szCs w:val="22"/>
          <w:lang w:val="es-MX"/>
        </w:rPr>
        <w:t xml:space="preserve">. </w:t>
      </w:r>
      <w:r w:rsidRPr="002B7E4F">
        <w:rPr>
          <w:rFonts w:ascii="Arial" w:hAnsi="Arial" w:cs="Arial"/>
          <w:sz w:val="22"/>
          <w:szCs w:val="22"/>
        </w:rPr>
        <w:t>La instalación se realiza en la parte superior de la puerta con el electroimán situado en la parte protegida y se realizará mediante los accesorios necesarios.</w:t>
      </w:r>
    </w:p>
    <w:p w:rsidR="002B7E4F" w:rsidRPr="002B7E4F" w:rsidRDefault="002B7E4F" w:rsidP="002B7E4F">
      <w:pPr>
        <w:jc w:val="both"/>
        <w:rPr>
          <w:rFonts w:ascii="Arial" w:hAnsi="Arial" w:cs="Arial"/>
          <w:sz w:val="22"/>
          <w:szCs w:val="22"/>
        </w:rPr>
      </w:pPr>
      <w:r w:rsidRPr="002B7E4F">
        <w:rPr>
          <w:rFonts w:ascii="Arial" w:hAnsi="Arial" w:cs="Arial"/>
          <w:sz w:val="22"/>
          <w:szCs w:val="22"/>
        </w:rPr>
        <w:t>Características técnicas:</w:t>
      </w:r>
    </w:p>
    <w:p w:rsidR="002B7E4F" w:rsidRPr="002B7E4F" w:rsidRDefault="002B7E4F" w:rsidP="002B7E4F">
      <w:pPr>
        <w:autoSpaceDE w:val="0"/>
        <w:autoSpaceDN w:val="0"/>
        <w:adjustRightInd w:val="0"/>
        <w:jc w:val="both"/>
        <w:rPr>
          <w:rFonts w:ascii="Arial" w:hAnsi="Arial" w:cs="Arial"/>
          <w:sz w:val="22"/>
          <w:szCs w:val="22"/>
          <w:lang w:val="es-MX" w:eastAsia="es-MX"/>
        </w:rPr>
      </w:pPr>
    </w:p>
    <w:p w:rsidR="002B7E4F" w:rsidRPr="002B7E4F" w:rsidRDefault="002B7E4F" w:rsidP="00462F48">
      <w:pPr>
        <w:pStyle w:val="Prrafodelista"/>
        <w:numPr>
          <w:ilvl w:val="0"/>
          <w:numId w:val="27"/>
        </w:numPr>
        <w:autoSpaceDE w:val="0"/>
        <w:autoSpaceDN w:val="0"/>
        <w:adjustRightInd w:val="0"/>
        <w:spacing w:line="360" w:lineRule="auto"/>
        <w:ind w:left="714" w:hanging="357"/>
        <w:jc w:val="both"/>
        <w:rPr>
          <w:rFonts w:ascii="Arial" w:hAnsi="Arial" w:cs="Arial"/>
          <w:sz w:val="22"/>
          <w:szCs w:val="22"/>
          <w:lang w:val="es-MX" w:eastAsia="es-MX"/>
        </w:rPr>
      </w:pPr>
      <w:r w:rsidRPr="002B7E4F">
        <w:rPr>
          <w:rFonts w:ascii="Arial" w:hAnsi="Arial" w:cs="Arial"/>
          <w:sz w:val="22"/>
          <w:szCs w:val="22"/>
          <w:lang w:val="es-MX" w:eastAsia="es-MX"/>
        </w:rPr>
        <w:t xml:space="preserve">Electroimán para montaje en superficie de fuerza de retención de 300N </w:t>
      </w:r>
      <w:proofErr w:type="gramStart"/>
      <w:r w:rsidRPr="002B7E4F">
        <w:rPr>
          <w:rFonts w:ascii="Arial" w:hAnsi="Arial" w:cs="Arial"/>
          <w:sz w:val="22"/>
          <w:szCs w:val="22"/>
          <w:lang w:val="es-MX" w:eastAsia="es-MX"/>
        </w:rPr>
        <w:t>( 300kgr</w:t>
      </w:r>
      <w:proofErr w:type="gramEnd"/>
      <w:r w:rsidRPr="002B7E4F">
        <w:rPr>
          <w:rFonts w:ascii="Arial" w:hAnsi="Arial" w:cs="Arial"/>
          <w:sz w:val="22"/>
          <w:szCs w:val="22"/>
          <w:lang w:val="es-MX" w:eastAsia="es-MX"/>
        </w:rPr>
        <w:t>).</w:t>
      </w:r>
    </w:p>
    <w:p w:rsidR="002B7E4F" w:rsidRPr="002B7E4F" w:rsidRDefault="002B7E4F" w:rsidP="00462F48">
      <w:pPr>
        <w:pStyle w:val="Prrafodelista"/>
        <w:numPr>
          <w:ilvl w:val="0"/>
          <w:numId w:val="27"/>
        </w:numPr>
        <w:autoSpaceDE w:val="0"/>
        <w:autoSpaceDN w:val="0"/>
        <w:adjustRightInd w:val="0"/>
        <w:spacing w:line="360" w:lineRule="auto"/>
        <w:ind w:left="714" w:hanging="357"/>
        <w:jc w:val="both"/>
        <w:rPr>
          <w:rFonts w:ascii="Arial" w:hAnsi="Arial" w:cs="Arial"/>
          <w:sz w:val="22"/>
          <w:szCs w:val="22"/>
          <w:lang w:val="es-MX" w:eastAsia="es-MX"/>
        </w:rPr>
      </w:pPr>
      <w:r w:rsidRPr="002B7E4F">
        <w:rPr>
          <w:rFonts w:ascii="Arial" w:hAnsi="Arial" w:cs="Arial"/>
          <w:sz w:val="22"/>
          <w:szCs w:val="22"/>
          <w:lang w:val="es-MX" w:eastAsia="es-MX"/>
        </w:rPr>
        <w:t>Tamaño 220mm x 35mm x 25mm.</w:t>
      </w:r>
    </w:p>
    <w:p w:rsidR="002B7E4F" w:rsidRPr="002B7E4F" w:rsidRDefault="002B7E4F" w:rsidP="00462F48">
      <w:pPr>
        <w:pStyle w:val="Prrafodelista"/>
        <w:numPr>
          <w:ilvl w:val="0"/>
          <w:numId w:val="27"/>
        </w:numPr>
        <w:autoSpaceDE w:val="0"/>
        <w:autoSpaceDN w:val="0"/>
        <w:adjustRightInd w:val="0"/>
        <w:spacing w:line="360" w:lineRule="auto"/>
        <w:ind w:left="714" w:hanging="357"/>
        <w:jc w:val="both"/>
        <w:rPr>
          <w:rFonts w:ascii="Arial" w:hAnsi="Arial" w:cs="Arial"/>
          <w:sz w:val="22"/>
          <w:szCs w:val="22"/>
          <w:lang w:val="es-MX" w:eastAsia="es-MX"/>
        </w:rPr>
      </w:pPr>
      <w:r w:rsidRPr="002B7E4F">
        <w:rPr>
          <w:rFonts w:ascii="Arial" w:hAnsi="Arial" w:cs="Arial"/>
          <w:sz w:val="22"/>
          <w:szCs w:val="22"/>
          <w:lang w:val="es-MX" w:eastAsia="es-MX"/>
        </w:rPr>
        <w:t xml:space="preserve">Alimentación 12/24 </w:t>
      </w:r>
      <w:proofErr w:type="spellStart"/>
      <w:r w:rsidRPr="002B7E4F">
        <w:rPr>
          <w:rFonts w:ascii="Arial" w:hAnsi="Arial" w:cs="Arial"/>
          <w:sz w:val="22"/>
          <w:szCs w:val="22"/>
          <w:lang w:val="es-MX" w:eastAsia="es-MX"/>
        </w:rPr>
        <w:t>Vdc</w:t>
      </w:r>
      <w:proofErr w:type="spellEnd"/>
      <w:r w:rsidRPr="002B7E4F">
        <w:rPr>
          <w:rFonts w:ascii="Arial" w:hAnsi="Arial" w:cs="Arial"/>
          <w:sz w:val="22"/>
          <w:szCs w:val="22"/>
          <w:lang w:val="es-MX" w:eastAsia="es-MX"/>
        </w:rPr>
        <w:t>. Consumo 500mA (12Vdc).</w:t>
      </w:r>
    </w:p>
    <w:p w:rsidR="002B7E4F" w:rsidRPr="002B7E4F" w:rsidRDefault="002B7E4F" w:rsidP="00462F48">
      <w:pPr>
        <w:pStyle w:val="Prrafodelista"/>
        <w:numPr>
          <w:ilvl w:val="0"/>
          <w:numId w:val="27"/>
        </w:numPr>
        <w:autoSpaceDE w:val="0"/>
        <w:autoSpaceDN w:val="0"/>
        <w:adjustRightInd w:val="0"/>
        <w:spacing w:line="360" w:lineRule="auto"/>
        <w:ind w:left="714" w:hanging="357"/>
        <w:jc w:val="both"/>
        <w:rPr>
          <w:rFonts w:ascii="Arial" w:hAnsi="Arial" w:cs="Arial"/>
          <w:sz w:val="22"/>
          <w:szCs w:val="22"/>
          <w:lang w:val="es-MX" w:eastAsia="es-MX"/>
        </w:rPr>
      </w:pPr>
      <w:r w:rsidRPr="002B7E4F">
        <w:rPr>
          <w:rFonts w:ascii="Arial" w:hAnsi="Arial" w:cs="Arial"/>
          <w:sz w:val="22"/>
          <w:szCs w:val="22"/>
          <w:lang w:val="es-MX" w:eastAsia="es-MX"/>
        </w:rPr>
        <w:t>Incluye monitorización por Led y relé REED.</w:t>
      </w:r>
    </w:p>
    <w:p w:rsidR="002B7E4F" w:rsidRPr="002B7E4F" w:rsidRDefault="002B7E4F" w:rsidP="00462F48">
      <w:pPr>
        <w:pStyle w:val="Prrafodelista"/>
        <w:numPr>
          <w:ilvl w:val="0"/>
          <w:numId w:val="27"/>
        </w:numPr>
        <w:autoSpaceDE w:val="0"/>
        <w:autoSpaceDN w:val="0"/>
        <w:adjustRightInd w:val="0"/>
        <w:spacing w:line="360" w:lineRule="auto"/>
        <w:ind w:left="714" w:hanging="357"/>
        <w:jc w:val="both"/>
        <w:rPr>
          <w:rFonts w:ascii="Arial" w:hAnsi="Arial" w:cs="Arial"/>
          <w:sz w:val="22"/>
          <w:szCs w:val="22"/>
          <w:lang w:val="es-MX" w:eastAsia="es-MX"/>
        </w:rPr>
      </w:pPr>
      <w:r w:rsidRPr="002B7E4F">
        <w:rPr>
          <w:rFonts w:ascii="Arial" w:hAnsi="Arial" w:cs="Arial"/>
          <w:sz w:val="22"/>
          <w:szCs w:val="22"/>
          <w:lang w:val="es-MX" w:eastAsia="es-MX"/>
        </w:rPr>
        <w:t>Incluye tornillería, herrajes y pletina de fijación</w:t>
      </w:r>
    </w:p>
    <w:p w:rsidR="002B7E4F" w:rsidRPr="002B7E4F" w:rsidRDefault="002B7E4F" w:rsidP="00462F48">
      <w:pPr>
        <w:pStyle w:val="Prrafodelista"/>
        <w:numPr>
          <w:ilvl w:val="0"/>
          <w:numId w:val="27"/>
        </w:numPr>
        <w:autoSpaceDE w:val="0"/>
        <w:autoSpaceDN w:val="0"/>
        <w:adjustRightInd w:val="0"/>
        <w:spacing w:line="360" w:lineRule="auto"/>
        <w:ind w:left="714" w:hanging="357"/>
        <w:jc w:val="both"/>
        <w:rPr>
          <w:rFonts w:ascii="Arial" w:hAnsi="Arial" w:cs="Arial"/>
          <w:sz w:val="22"/>
          <w:szCs w:val="22"/>
        </w:rPr>
      </w:pPr>
      <w:r w:rsidRPr="002B7E4F">
        <w:rPr>
          <w:rFonts w:ascii="Arial" w:hAnsi="Arial" w:cs="Arial"/>
          <w:sz w:val="22"/>
          <w:szCs w:val="22"/>
          <w:lang w:val="es-MX" w:eastAsia="es-MX"/>
        </w:rPr>
        <w:t>Acabado: superficie del electroimán en zinc y caja de aluminio anodizado.</w:t>
      </w:r>
    </w:p>
    <w:p w:rsidR="002B7E4F" w:rsidRPr="002B7E4F" w:rsidRDefault="002B7E4F" w:rsidP="002B7E4F">
      <w:pPr>
        <w:pStyle w:val="Prrafodelista"/>
        <w:autoSpaceDE w:val="0"/>
        <w:autoSpaceDN w:val="0"/>
        <w:adjustRightInd w:val="0"/>
        <w:spacing w:line="360" w:lineRule="auto"/>
        <w:jc w:val="both"/>
        <w:rPr>
          <w:rFonts w:ascii="Arial" w:hAnsi="Arial" w:cs="Arial"/>
          <w:sz w:val="22"/>
          <w:szCs w:val="22"/>
          <w:lang w:val="es-MX" w:eastAsia="es-MX"/>
        </w:rPr>
      </w:pPr>
    </w:p>
    <w:p w:rsidR="002B7E4F" w:rsidRPr="002B7E4F" w:rsidRDefault="002B7E4F" w:rsidP="002B7E4F">
      <w:pPr>
        <w:autoSpaceDE w:val="0"/>
        <w:autoSpaceDN w:val="0"/>
        <w:adjustRightInd w:val="0"/>
        <w:jc w:val="both"/>
        <w:rPr>
          <w:rFonts w:ascii="Arial" w:hAnsi="Arial" w:cs="Arial"/>
          <w:sz w:val="22"/>
          <w:szCs w:val="22"/>
          <w:lang w:eastAsia="es-MX"/>
        </w:rPr>
      </w:pPr>
      <w:r w:rsidRPr="002B7E4F">
        <w:rPr>
          <w:rFonts w:ascii="Arial" w:hAnsi="Arial" w:cs="Arial"/>
          <w:sz w:val="22"/>
          <w:szCs w:val="22"/>
          <w:lang w:eastAsia="es-MX"/>
        </w:rPr>
        <w:t>El diseño de las puertas y de todos los equipos y accesorios necesarios para la instalación y operación de la misma, deberá de cumplir con las Normas nacionales y en su defecto internacionales que apliquen.</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Cualquier material diferente a seleccionar deberá ser homologado bajo las características técnicas a las contempladas en el proyecto ejecutivo y en base a lo indicado en esta especificación técnica. La homologación contemplará las características de calidad, funcionalidad y  elementos técnicos</w:t>
      </w:r>
    </w:p>
    <w:p w:rsidR="002B7E4F" w:rsidRPr="002B7E4F" w:rsidRDefault="002B7E4F" w:rsidP="002B7E4F">
      <w:pPr>
        <w:jc w:val="both"/>
        <w:rPr>
          <w:rFonts w:ascii="Arial" w:hAnsi="Arial" w:cs="Arial"/>
          <w:sz w:val="22"/>
          <w:szCs w:val="22"/>
        </w:rPr>
      </w:pPr>
    </w:p>
    <w:p w:rsidR="002B7E4F" w:rsidRPr="002B7E4F" w:rsidRDefault="002B7E4F" w:rsidP="002B7E4F">
      <w:pPr>
        <w:widowControl w:val="0"/>
        <w:overflowPunct w:val="0"/>
        <w:autoSpaceDE w:val="0"/>
        <w:autoSpaceDN w:val="0"/>
        <w:adjustRightInd w:val="0"/>
        <w:ind w:right="627"/>
        <w:jc w:val="both"/>
        <w:textAlignment w:val="baseline"/>
        <w:rPr>
          <w:rStyle w:val="CarCar92"/>
          <w:rFonts w:ascii="Arial" w:hAnsi="Arial" w:cs="Arial"/>
          <w:sz w:val="22"/>
          <w:szCs w:val="22"/>
        </w:rPr>
      </w:pPr>
    </w:p>
    <w:p w:rsidR="002B7E4F" w:rsidRPr="002B7E4F" w:rsidRDefault="002B7E4F" w:rsidP="00462F48">
      <w:pPr>
        <w:pStyle w:val="TITULO-3"/>
        <w:numPr>
          <w:ilvl w:val="2"/>
          <w:numId w:val="29"/>
        </w:numPr>
        <w:tabs>
          <w:tab w:val="clear" w:pos="1440"/>
          <w:tab w:val="num" w:pos="851"/>
        </w:tabs>
        <w:ind w:left="851" w:hanging="851"/>
        <w:rPr>
          <w:rFonts w:ascii="Arial" w:hAnsi="Arial" w:cs="Arial"/>
          <w:b/>
          <w:sz w:val="22"/>
          <w:szCs w:val="22"/>
        </w:rPr>
      </w:pPr>
      <w:bookmarkStart w:id="3" w:name="_Toc368074733"/>
      <w:r w:rsidRPr="002B7E4F">
        <w:rPr>
          <w:rFonts w:ascii="Arial" w:hAnsi="Arial" w:cs="Arial"/>
          <w:b/>
          <w:sz w:val="22"/>
          <w:szCs w:val="22"/>
        </w:rPr>
        <w:t>Ejecución de Obra</w:t>
      </w:r>
      <w:bookmarkEnd w:id="3"/>
    </w:p>
    <w:p w:rsidR="002B7E4F" w:rsidRPr="002B7E4F" w:rsidRDefault="002B7E4F" w:rsidP="00462F48">
      <w:pPr>
        <w:pStyle w:val="TITULO-4"/>
        <w:numPr>
          <w:ilvl w:val="3"/>
          <w:numId w:val="29"/>
        </w:numPr>
        <w:rPr>
          <w:sz w:val="22"/>
          <w:szCs w:val="22"/>
        </w:rPr>
      </w:pPr>
      <w:bookmarkStart w:id="4" w:name="_Toc368074734"/>
      <w:r w:rsidRPr="002B7E4F">
        <w:rPr>
          <w:sz w:val="22"/>
          <w:szCs w:val="22"/>
        </w:rPr>
        <w:t>Trabajos preliminares</w:t>
      </w:r>
      <w:bookmarkEnd w:id="4"/>
    </w:p>
    <w:p w:rsidR="002B7E4F" w:rsidRPr="002B7E4F" w:rsidRDefault="002B7E4F" w:rsidP="002B7E4F">
      <w:pPr>
        <w:jc w:val="both"/>
        <w:rPr>
          <w:rFonts w:ascii="Arial" w:hAnsi="Arial" w:cs="Arial"/>
          <w:sz w:val="22"/>
          <w:szCs w:val="22"/>
        </w:rPr>
      </w:pPr>
      <w:r w:rsidRPr="002B7E4F">
        <w:rPr>
          <w:rFonts w:ascii="Arial" w:hAnsi="Arial" w:cs="Arial"/>
          <w:sz w:val="22"/>
          <w:szCs w:val="22"/>
        </w:rPr>
        <w:t>Estas actividades comprenden todos aquellos trabajos o actuaciones previas que deberán de desarrollarse, antes de ejecutar los trabajos de instalación de puerta de estación para los diferentes accesos en las estaciones del Corredor Diagonal de Guadalajara.</w:t>
      </w:r>
    </w:p>
    <w:p w:rsidR="002B7E4F" w:rsidRPr="002B7E4F" w:rsidRDefault="002B7E4F" w:rsidP="002B7E4F">
      <w:pPr>
        <w:jc w:val="both"/>
        <w:rPr>
          <w:rFonts w:ascii="Arial" w:hAnsi="Arial" w:cs="Arial"/>
          <w:sz w:val="22"/>
          <w:szCs w:val="22"/>
        </w:rPr>
      </w:pPr>
      <w:r w:rsidRPr="002B7E4F">
        <w:rPr>
          <w:rFonts w:ascii="Arial" w:hAnsi="Arial" w:cs="Arial"/>
          <w:sz w:val="22"/>
          <w:szCs w:val="22"/>
        </w:rPr>
        <w:t>Estos trabajos estarán basados bajo los lineamientos técnicos de las normativas aplicables en la materia tanto municipales, nacionales e internacionales, así como los indicados en esta especificación técnica.</w:t>
      </w:r>
    </w:p>
    <w:p w:rsidR="002B7E4F" w:rsidRPr="002B7E4F" w:rsidRDefault="002B7E4F" w:rsidP="002B7E4F">
      <w:pPr>
        <w:jc w:val="both"/>
        <w:rPr>
          <w:rFonts w:ascii="Arial" w:hAnsi="Arial" w:cs="Arial"/>
          <w:sz w:val="22"/>
          <w:szCs w:val="22"/>
        </w:rPr>
      </w:pPr>
      <w:r w:rsidRPr="002B7E4F">
        <w:rPr>
          <w:rFonts w:ascii="Arial" w:hAnsi="Arial" w:cs="Arial"/>
          <w:sz w:val="22"/>
          <w:szCs w:val="22"/>
        </w:rPr>
        <w:t>Se realizaran reuniones para establecer los procesos y periodos de instalación, con el fin de cumplir en tiempo y forma con el Programa de Obra establecido, también se establecerán los protocolos de las distintas pruebas a realizarse en sitio del sistema, así como los responsables de llevar a cabo y verificar dichas pruebas.</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Se supervisara de manera constante la correcta instalación de los materiales que conforman el concepto de puerta de estación. Se deberá hacer el trazo en primera instancia que permita prever posibles interferencias con las demás especialidades. Así mismo, deberán de colocarse los soportes necesarios que fijarán las tanto las tuberías verticales y  horizontales con las distancias adecuadas según lo indicado en la </w:t>
      </w:r>
      <w:r w:rsidRPr="002B7E4F">
        <w:rPr>
          <w:rFonts w:ascii="Arial" w:hAnsi="Arial" w:cs="Arial"/>
          <w:sz w:val="22"/>
          <w:szCs w:val="22"/>
        </w:rPr>
        <w:lastRenderedPageBreak/>
        <w:t>normatividad correspondiente y considerando también las recomendaciones y prácticas para dicho sistema del fabricante de las mismas.</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29"/>
        </w:numPr>
        <w:rPr>
          <w:sz w:val="22"/>
          <w:szCs w:val="22"/>
        </w:rPr>
      </w:pPr>
      <w:bookmarkStart w:id="5" w:name="_Toc368074735"/>
      <w:r w:rsidRPr="002B7E4F">
        <w:rPr>
          <w:sz w:val="22"/>
          <w:szCs w:val="22"/>
        </w:rPr>
        <w:t>Almacenaje y transporte.</w:t>
      </w:r>
      <w:bookmarkEnd w:id="5"/>
    </w:p>
    <w:p w:rsidR="002B7E4F" w:rsidRPr="002B7E4F" w:rsidRDefault="002B7E4F" w:rsidP="002B7E4F">
      <w:pPr>
        <w:jc w:val="both"/>
        <w:rPr>
          <w:rFonts w:ascii="Arial" w:hAnsi="Arial" w:cs="Arial"/>
          <w:sz w:val="22"/>
          <w:szCs w:val="22"/>
        </w:rPr>
      </w:pPr>
      <w:r w:rsidRPr="002B7E4F">
        <w:rPr>
          <w:rFonts w:ascii="Arial" w:hAnsi="Arial" w:cs="Arial"/>
          <w:sz w:val="22"/>
          <w:szCs w:val="22"/>
        </w:rPr>
        <w:t>El almacenaje se deberá de ejecutar en el sitio más cercano al punto de la obra o de la instalación. El área de almacenaje deberá de estar confinada, techada y cerrada para evitar que el material  entre en contacto con elementos que puedan obstruir o taponar los tubos y/o accesorios.</w:t>
      </w:r>
    </w:p>
    <w:p w:rsidR="002B7E4F" w:rsidRPr="002B7E4F" w:rsidRDefault="002B7E4F" w:rsidP="002B7E4F">
      <w:pPr>
        <w:jc w:val="both"/>
        <w:rPr>
          <w:rFonts w:ascii="Arial" w:hAnsi="Arial" w:cs="Arial"/>
          <w:sz w:val="22"/>
          <w:szCs w:val="22"/>
        </w:rPr>
      </w:pPr>
      <w:r w:rsidRPr="002B7E4F">
        <w:rPr>
          <w:rFonts w:ascii="Arial" w:hAnsi="Arial" w:cs="Arial"/>
          <w:sz w:val="22"/>
          <w:szCs w:val="22"/>
        </w:rPr>
        <w:t>Es necesario que el transporte sea en medios adecuados y en dimensiones tales que permitan la correcta ejecución de cada una de las maniobras de carga y descarga sin dañar los materiales y accesorios.</w:t>
      </w:r>
    </w:p>
    <w:p w:rsidR="002B7E4F" w:rsidRPr="002B7E4F" w:rsidRDefault="002B7E4F" w:rsidP="002B7E4F">
      <w:pPr>
        <w:jc w:val="both"/>
        <w:rPr>
          <w:rFonts w:ascii="Arial" w:hAnsi="Arial" w:cs="Arial"/>
          <w:sz w:val="22"/>
          <w:szCs w:val="22"/>
        </w:rPr>
      </w:pPr>
      <w:r w:rsidRPr="002B7E4F">
        <w:rPr>
          <w:rFonts w:ascii="Arial" w:hAnsi="Arial" w:cs="Arial"/>
          <w:sz w:val="22"/>
          <w:szCs w:val="22"/>
        </w:rPr>
        <w:t>Se supervisarán los puntos de almacenaje y que las condiciones sean óptimas para el almacenaje de los materiales y que no sufra ninguna avería hasta su puesta en servicio.</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29"/>
        </w:numPr>
        <w:rPr>
          <w:sz w:val="22"/>
          <w:szCs w:val="22"/>
        </w:rPr>
      </w:pPr>
      <w:bookmarkStart w:id="6" w:name="_Toc368074736"/>
      <w:r w:rsidRPr="002B7E4F">
        <w:rPr>
          <w:sz w:val="22"/>
          <w:szCs w:val="22"/>
        </w:rPr>
        <w:t>Instalación</w:t>
      </w:r>
      <w:bookmarkEnd w:id="6"/>
    </w:p>
    <w:p w:rsidR="002B7E4F" w:rsidRPr="002B7E4F" w:rsidRDefault="002B7E4F" w:rsidP="002B7E4F">
      <w:pPr>
        <w:jc w:val="both"/>
        <w:rPr>
          <w:rFonts w:ascii="Arial" w:hAnsi="Arial" w:cs="Arial"/>
          <w:sz w:val="22"/>
          <w:szCs w:val="22"/>
        </w:rPr>
      </w:pPr>
      <w:r w:rsidRPr="002B7E4F">
        <w:rPr>
          <w:rFonts w:ascii="Arial" w:hAnsi="Arial" w:cs="Arial"/>
          <w:sz w:val="22"/>
          <w:szCs w:val="22"/>
        </w:rPr>
        <w:t>La instalación del equipo contemplará la colocación de los sistemas de fijación, soportes adecuados y según lo indique el proyecto ejecutivo.</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La instalación de las puertas de estación deberán ejecutarse según los lineamientos programados, para su instalación se deberán de tener listas las preparaciones necesarias como energía eléctrica y el nodo de red necesario, además de las previsiones de espacios necesarios para su correcta instalación.</w:t>
      </w:r>
    </w:p>
    <w:p w:rsidR="002B7E4F" w:rsidRPr="002B7E4F" w:rsidRDefault="002B7E4F" w:rsidP="002B7E4F">
      <w:pPr>
        <w:jc w:val="both"/>
        <w:rPr>
          <w:rFonts w:ascii="Arial" w:hAnsi="Arial" w:cs="Arial"/>
          <w:sz w:val="22"/>
          <w:szCs w:val="22"/>
        </w:rPr>
      </w:pPr>
      <w:r w:rsidRPr="002B7E4F">
        <w:rPr>
          <w:rFonts w:ascii="Arial" w:hAnsi="Arial" w:cs="Arial"/>
          <w:sz w:val="22"/>
          <w:szCs w:val="22"/>
        </w:rPr>
        <w:t>Así mismo, se deberán de contemplar las conexiones necesarias de acuerdo a lo que indique el proyecto ejecutivo y bajo los lineamientos normativos correspondientes.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Aunado a todo ello, se establecerán los procedimientos para la atención de detalles y averías durante el proceso de montaje y pruebas y durante el periodo de garantía.</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El contratista de la obra responsable de dichos trabajos tendrá a su cargo todos los materiales y accesorios de instalación que los equipos requieran. </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Los materiales se almacenarán de tal modo que se asegure la conservación de sus características y aptitudes para su empleo en la obra y de forma que se facilite su inspección. La compañía a cargo de la operación y/o la Entidad Inspectora podrán ordenar, si lo consideran necesario, el uso de plataformas adecuadas, cobertizos o edificios para la protección de aquellos materiales que se requiera. </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Lo mencionado en el presente Documento y omitido en los planos, o viceversa, habrá de ser ejecutado como si estuviese desarrollo en ambos documentos. En caso de contradicción entre los planos y el Proyecto Ejecutivo, prevalecerá lo prescrito en este último.</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El instalador del subsistema puerta de estación estará obligado a poner cuanto antes en conocimiento del Ingeniero Director de las obras, cualquier discrepancia que observe </w:t>
      </w:r>
      <w:r w:rsidRPr="002B7E4F">
        <w:rPr>
          <w:rFonts w:ascii="Arial" w:hAnsi="Arial" w:cs="Arial"/>
          <w:sz w:val="22"/>
          <w:szCs w:val="22"/>
        </w:rPr>
        <w:lastRenderedPageBreak/>
        <w:t>entre los distintos planos del Proyecto o cualquier otra circunstancia surgida durante la ejecución de los trabajos, que diese lugar a posibles modificaciones del Proyecto.</w:t>
      </w:r>
    </w:p>
    <w:p w:rsidR="002B7E4F" w:rsidRPr="002B7E4F" w:rsidRDefault="002B7E4F" w:rsidP="002B7E4F">
      <w:pPr>
        <w:jc w:val="both"/>
        <w:rPr>
          <w:rFonts w:ascii="Arial" w:hAnsi="Arial" w:cs="Arial"/>
          <w:sz w:val="22"/>
          <w:szCs w:val="22"/>
        </w:rPr>
      </w:pPr>
      <w:r w:rsidRPr="002B7E4F">
        <w:rPr>
          <w:rFonts w:ascii="Arial" w:hAnsi="Arial" w:cs="Arial"/>
          <w:sz w:val="22"/>
          <w:szCs w:val="22"/>
        </w:rPr>
        <w:t>Como consecuencia de la información recibida del instalador, o por propia iniciativa a la vista de las necesidades de la obra, el Director de la misma podrá ordenar y proponer las modificaciones que considere necesarias de acuerdo con el presente Documento y la Legislación vigente sobre la materia.</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29"/>
        </w:numPr>
        <w:tabs>
          <w:tab w:val="clear" w:pos="1440"/>
          <w:tab w:val="num" w:pos="851"/>
        </w:tabs>
        <w:ind w:left="851" w:hanging="851"/>
        <w:rPr>
          <w:rFonts w:ascii="Arial" w:hAnsi="Arial" w:cs="Arial"/>
          <w:b/>
          <w:sz w:val="22"/>
          <w:szCs w:val="22"/>
        </w:rPr>
      </w:pPr>
      <w:bookmarkStart w:id="7" w:name="_Toc368074737"/>
      <w:r w:rsidRPr="002B7E4F">
        <w:rPr>
          <w:rFonts w:ascii="Arial" w:hAnsi="Arial" w:cs="Arial"/>
          <w:b/>
          <w:sz w:val="22"/>
          <w:szCs w:val="22"/>
        </w:rPr>
        <w:t>Medición</w:t>
      </w:r>
      <w:bookmarkEnd w:id="7"/>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El subsistema Puerta de Estación se medirán por pieza y contemplará lo descrito en el </w:t>
      </w:r>
      <w:proofErr w:type="spellStart"/>
      <w:r w:rsidRPr="002B7E4F">
        <w:rPr>
          <w:rFonts w:ascii="Arial" w:hAnsi="Arial" w:cs="Arial"/>
          <w:sz w:val="22"/>
          <w:szCs w:val="22"/>
        </w:rPr>
        <w:t>catalogo</w:t>
      </w:r>
      <w:proofErr w:type="spellEnd"/>
      <w:r w:rsidRPr="002B7E4F">
        <w:rPr>
          <w:rFonts w:ascii="Arial" w:hAnsi="Arial" w:cs="Arial"/>
          <w:sz w:val="22"/>
          <w:szCs w:val="22"/>
        </w:rPr>
        <w:t xml:space="preserve"> de conceptos correspondiente.</w:t>
      </w:r>
    </w:p>
    <w:p w:rsidR="002B7E4F" w:rsidRPr="002B7E4F" w:rsidRDefault="002B7E4F" w:rsidP="002B7E4F">
      <w:pPr>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29"/>
        </w:numPr>
        <w:tabs>
          <w:tab w:val="clear" w:pos="1440"/>
          <w:tab w:val="num" w:pos="851"/>
        </w:tabs>
        <w:ind w:left="851" w:hanging="851"/>
        <w:rPr>
          <w:rFonts w:ascii="Arial" w:hAnsi="Arial" w:cs="Arial"/>
          <w:b/>
          <w:sz w:val="22"/>
          <w:szCs w:val="22"/>
        </w:rPr>
      </w:pPr>
      <w:bookmarkStart w:id="8" w:name="_Toc368074738"/>
      <w:r w:rsidRPr="002B7E4F">
        <w:rPr>
          <w:rFonts w:ascii="Arial" w:hAnsi="Arial" w:cs="Arial"/>
          <w:b/>
          <w:sz w:val="22"/>
          <w:szCs w:val="22"/>
        </w:rPr>
        <w:t>Pruebas y Ensayo</w:t>
      </w:r>
      <w:bookmarkEnd w:id="8"/>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pruebas y ensayos se realizarán según el protocolo de pruebas propuesto por el instalador y aprobado por la DO y bajo los lineamientos que marquen las normativas vigentes y aplicables.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4"/>
        <w:numPr>
          <w:ilvl w:val="3"/>
          <w:numId w:val="29"/>
        </w:numPr>
        <w:rPr>
          <w:sz w:val="22"/>
          <w:szCs w:val="22"/>
        </w:rPr>
      </w:pPr>
      <w:bookmarkStart w:id="9" w:name="_Toc368074739"/>
      <w:r w:rsidRPr="002B7E4F">
        <w:rPr>
          <w:sz w:val="22"/>
          <w:szCs w:val="22"/>
        </w:rPr>
        <w:t>Garantías de calidad</w:t>
      </w:r>
      <w:bookmarkEnd w:id="9"/>
      <w:r w:rsidRPr="002B7E4F">
        <w:rPr>
          <w:sz w:val="22"/>
          <w:szCs w:val="22"/>
        </w:rPr>
        <w:t xml:space="preserve"> </w:t>
      </w:r>
    </w:p>
    <w:p w:rsidR="002B7E4F" w:rsidRPr="002B7E4F" w:rsidRDefault="002B7E4F" w:rsidP="002B7E4F">
      <w:pPr>
        <w:jc w:val="both"/>
        <w:rPr>
          <w:rFonts w:ascii="Arial" w:hAnsi="Arial" w:cs="Arial"/>
          <w:sz w:val="22"/>
          <w:szCs w:val="22"/>
        </w:rPr>
      </w:pPr>
      <w:r w:rsidRPr="002B7E4F">
        <w:rPr>
          <w:rFonts w:ascii="Arial" w:hAnsi="Arial" w:cs="Arial"/>
          <w:sz w:val="22"/>
          <w:szCs w:val="22"/>
        </w:rPr>
        <w:t>El  proveedor  debe  corresponder  a  una  firma  experimentada  en  la fabricación de este tipo de equipos (5 años de experiencia  como  mínimo).  Esta  experiencia  deberá  ser  acreditada  mediante cartas de certificación de clientes adquirientes de estos equipos, preferentemente, de empresas relacionadas con el Transporte masivo de personas.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El contratista responsable de dichos trabajos, tendrá absoluta responsabilidad de la ejecución de los trabajos y de su resultado final, al ser instalados los equipos en campo.</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Cualquier defecto, error o insuficiencia en el diseño, fabricación, material y/o de vicios ocultos en el equipo, materiales y/o mano de obra, deberán ser corregidos por el proveedor, efectuando el propio suministrador o contratista de dichos equipos, el cambio o sustitución de componentes defectuosos sin cargo alguno para la dependencia a cargo de los trabajos.</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29"/>
        </w:numPr>
        <w:rPr>
          <w:sz w:val="22"/>
          <w:szCs w:val="22"/>
        </w:rPr>
      </w:pPr>
      <w:bookmarkStart w:id="10" w:name="_Toc368074740"/>
      <w:r w:rsidRPr="002B7E4F">
        <w:rPr>
          <w:sz w:val="22"/>
          <w:szCs w:val="22"/>
        </w:rPr>
        <w:t>Garantías técnicas</w:t>
      </w:r>
      <w:bookmarkEnd w:id="10"/>
    </w:p>
    <w:p w:rsidR="002B7E4F" w:rsidRPr="002B7E4F" w:rsidRDefault="002B7E4F" w:rsidP="002B7E4F">
      <w:pPr>
        <w:jc w:val="both"/>
        <w:rPr>
          <w:rFonts w:ascii="Arial" w:hAnsi="Arial" w:cs="Arial"/>
          <w:sz w:val="22"/>
          <w:szCs w:val="22"/>
        </w:rPr>
      </w:pPr>
      <w:r w:rsidRPr="002B7E4F">
        <w:rPr>
          <w:rFonts w:ascii="Arial" w:hAnsi="Arial" w:cs="Arial"/>
          <w:sz w:val="22"/>
          <w:szCs w:val="22"/>
        </w:rPr>
        <w:t>El contratista instalador del subsistema Puerta de Estación deberá presentar un documento escrito, aceptando reemplazar materiales  defectuosos  y  aportar  mano  de  obra,  durante  todo  el  periodo  de garantía y sin costo, el citado documento deberá de indicar explícitamente al menos incluirá la siguiente cobertura:</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Reemplazo de materiales defectuosos y suministro de mano de obra cuando se presenten  fallas  operacionales,  funcionamiento por debajo de los mínimos requeridos, deterioro excesivo, evidencia de que el sistema no será razonablemente </w:t>
      </w:r>
      <w:proofErr w:type="spellStart"/>
      <w:r w:rsidRPr="002B7E4F">
        <w:rPr>
          <w:rFonts w:ascii="Arial" w:hAnsi="Arial" w:cs="Arial"/>
          <w:sz w:val="22"/>
          <w:szCs w:val="22"/>
        </w:rPr>
        <w:t>mantenible</w:t>
      </w:r>
      <w:proofErr w:type="spellEnd"/>
      <w:r w:rsidRPr="002B7E4F">
        <w:rPr>
          <w:rFonts w:ascii="Arial" w:hAnsi="Arial" w:cs="Arial"/>
          <w:sz w:val="22"/>
          <w:szCs w:val="22"/>
        </w:rPr>
        <w:t xml:space="preserve"> durante la vida útil del resto de las instalaciones, o por desgaste  anormal  considerando  la  intensidad  </w:t>
      </w:r>
      <w:r w:rsidRPr="002B7E4F">
        <w:rPr>
          <w:rFonts w:ascii="Arial" w:hAnsi="Arial" w:cs="Arial"/>
          <w:sz w:val="22"/>
          <w:szCs w:val="22"/>
        </w:rPr>
        <w:lastRenderedPageBreak/>
        <w:t>del  uso,  condiciones  inseguras, ruido  o  vibración  excesivos  y  otras  condiciones  similarmente  insatisfactorias, inusuales o inesperadas.</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29"/>
        </w:numPr>
        <w:tabs>
          <w:tab w:val="clear" w:pos="1440"/>
          <w:tab w:val="num" w:pos="851"/>
        </w:tabs>
        <w:ind w:left="851" w:hanging="851"/>
        <w:rPr>
          <w:rFonts w:ascii="Arial" w:hAnsi="Arial" w:cs="Arial"/>
          <w:b/>
          <w:sz w:val="22"/>
          <w:szCs w:val="22"/>
        </w:rPr>
      </w:pPr>
      <w:bookmarkStart w:id="11" w:name="_Toc368074741"/>
      <w:r w:rsidRPr="002B7E4F">
        <w:rPr>
          <w:rFonts w:ascii="Arial" w:hAnsi="Arial" w:cs="Arial"/>
          <w:b/>
          <w:sz w:val="22"/>
          <w:szCs w:val="22"/>
        </w:rPr>
        <w:t>Base de Pago</w:t>
      </w:r>
      <w:bookmarkEnd w:id="11"/>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pago por unidad de obra terminada se hará al precio unitario fijado en el contrato, entendiéndose que las obras correspondientes a los conceptos allí desarrollados, están completamente terminados y ejecutados conforme a las condiciones que indica el proyecto ejecutivo y de acuerdo con las mediciones realizadas en obra con las condiciones también fijadas al efecto.</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Los precios incluyen el suministro, transporte a obra, fijación, materiales, desperdicios, mano de obra, herramienta, almacenamiento, limpieza y retiro de material fuera de la obra, pruebas, puesta en marcha y en general todos aquellos trabajos no indicados que sean necesarios para la correcta ejecución y terminación de esta unidad de obra. Los precios serán invariables </w:t>
      </w:r>
      <w:proofErr w:type="spellStart"/>
      <w:r w:rsidRPr="002B7E4F">
        <w:rPr>
          <w:rFonts w:ascii="Arial" w:hAnsi="Arial" w:cs="Arial"/>
          <w:sz w:val="22"/>
          <w:szCs w:val="22"/>
        </w:rPr>
        <w:t>cualesquiera</w:t>
      </w:r>
      <w:proofErr w:type="spellEnd"/>
      <w:r w:rsidRPr="002B7E4F">
        <w:rPr>
          <w:rFonts w:ascii="Arial" w:hAnsi="Arial" w:cs="Arial"/>
          <w:sz w:val="22"/>
          <w:szCs w:val="22"/>
        </w:rPr>
        <w:t xml:space="preserve"> sea la procedencia de los materiales y la distancia de transporte.</w:t>
      </w:r>
    </w:p>
    <w:sectPr w:rsidR="002B7E4F" w:rsidRPr="002B7E4F"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F20F24">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1985"/>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7E"/>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2648"/>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2F9D"/>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5C14"/>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3F"/>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4256"/>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71D"/>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06F0"/>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EF7A42"/>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0F24"/>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rules v:ext="edit">
        <o:r id="V:Rule5" type="connector" idref="#Conector recto de flecha 41"/>
        <o:r id="V:Rule6" type="connector" idref="#Conector recto de flecha 46"/>
        <o:r id="V:Rule7" type="connector" idref="#Conector recto de flecha 47"/>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0953A6-5388-44D1-8213-6958E7574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1563</Words>
  <Characters>8863</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10406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3</cp:revision>
  <cp:lastPrinted>2014-02-10T15:57:00Z</cp:lastPrinted>
  <dcterms:created xsi:type="dcterms:W3CDTF">2014-04-10T22:21:00Z</dcterms:created>
  <dcterms:modified xsi:type="dcterms:W3CDTF">2014-04-10T22:24:00Z</dcterms:modified>
</cp:coreProperties>
</file>